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:rsidTr="00BB543C">
        <w:tc>
          <w:tcPr>
            <w:tcW w:w="9060" w:type="dxa"/>
            <w:gridSpan w:val="2"/>
          </w:tcPr>
          <w:p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:rsidTr="005D0709">
        <w:trPr>
          <w:trHeight w:val="318"/>
        </w:trPr>
        <w:tc>
          <w:tcPr>
            <w:tcW w:w="4530" w:type="dxa"/>
          </w:tcPr>
          <w:p w:rsidR="00F25A67" w:rsidRDefault="0005442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44B82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Individstöd i samverkan LOKUS Heby</w:t>
            </w:r>
          </w:p>
        </w:tc>
        <w:tc>
          <w:tcPr>
            <w:tcW w:w="4530" w:type="dxa"/>
          </w:tcPr>
          <w:p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054421">
              <w:rPr>
                <w:rFonts w:ascii="Times New Roman" w:hAnsi="Times New Roman" w:cs="Times New Roman"/>
                <w:sz w:val="24"/>
                <w:szCs w:val="26"/>
              </w:rPr>
              <w:t xml:space="preserve"> 2018-01-01 till 2020-12-31</w:t>
            </w:r>
          </w:p>
        </w:tc>
      </w:tr>
      <w:tr w:rsidR="00D16E5B" w:rsidTr="00D16E5B">
        <w:trPr>
          <w:trHeight w:val="318"/>
        </w:trPr>
        <w:tc>
          <w:tcPr>
            <w:tcW w:w="9060" w:type="dxa"/>
            <w:gridSpan w:val="2"/>
          </w:tcPr>
          <w:p w:rsidR="00D16E5B" w:rsidRPr="00E44B82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E44B82">
              <w:rPr>
                <w:rFonts w:ascii="Times New Roman" w:hAnsi="Times New Roman" w:cs="Times New Roman"/>
                <w:i/>
                <w:sz w:val="24"/>
                <w:szCs w:val="26"/>
              </w:rPr>
              <w:t>Insatsägare och s</w:t>
            </w:r>
            <w:r w:rsidR="00D16E5B" w:rsidRPr="00E44B82">
              <w:rPr>
                <w:rFonts w:ascii="Times New Roman" w:hAnsi="Times New Roman" w:cs="Times New Roman"/>
                <w:i/>
                <w:sz w:val="24"/>
                <w:szCs w:val="26"/>
              </w:rPr>
              <w:t>amverkansparter (som är delaktiga i insatsen):</w:t>
            </w:r>
          </w:p>
          <w:p w:rsidR="00732D12" w:rsidRDefault="00054421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Heby kommun, Region Uppsala, Försäkringskassan och Arbetsförmedlingen</w:t>
            </w:r>
          </w:p>
        </w:tc>
      </w:tr>
    </w:tbl>
    <w:p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:rsidTr="003F4E0B">
        <w:tc>
          <w:tcPr>
            <w:tcW w:w="9060" w:type="dxa"/>
          </w:tcPr>
          <w:p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:rsidTr="003F4E0B">
        <w:tc>
          <w:tcPr>
            <w:tcW w:w="9060" w:type="dxa"/>
          </w:tcPr>
          <w:p w:rsidR="00D16E5B" w:rsidRPr="00E44B82" w:rsidRDefault="00054421" w:rsidP="00F25A67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E44B82">
              <w:rPr>
                <w:rFonts w:ascii="Times New Roman" w:hAnsi="Times New Roman" w:cs="Times New Roman"/>
                <w:i/>
                <w:sz w:val="24"/>
                <w:szCs w:val="26"/>
              </w:rPr>
              <w:t>Effektmål:</w:t>
            </w:r>
          </w:p>
          <w:p w:rsidR="00054421" w:rsidRDefault="00054421" w:rsidP="00054421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Parterna ska ha antagit en gemensam överenskommelse med en tydlig samverkans-struktur kring personer i behov av samordnad arbetslivsinriktad rehabilitering</w:t>
            </w:r>
          </w:p>
          <w:p w:rsidR="00054421" w:rsidRDefault="00054421" w:rsidP="00054421">
            <w:pPr>
              <w:pStyle w:val="Ingetavstn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80 % av individerna som deltag</w:t>
            </w:r>
            <w:r w:rsidR="005045E6">
              <w:rPr>
                <w:rFonts w:ascii="Times New Roman" w:hAnsi="Times New Roman" w:cs="Times New Roman"/>
                <w:sz w:val="24"/>
                <w:szCs w:val="26"/>
              </w:rPr>
              <w:t>it i insatsen ska vid avslut ha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en plan mot arbete/studier som tydliggör nästa steg i processen</w:t>
            </w:r>
          </w:p>
          <w:p w:rsidR="00570A3E" w:rsidRDefault="00570A3E" w:rsidP="0005442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054421" w:rsidRPr="00E44B82" w:rsidRDefault="00054421" w:rsidP="00054421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E44B82">
              <w:rPr>
                <w:rFonts w:ascii="Times New Roman" w:hAnsi="Times New Roman" w:cs="Times New Roman"/>
                <w:i/>
                <w:sz w:val="24"/>
                <w:szCs w:val="26"/>
              </w:rPr>
              <w:t>Insatsmål/resultatmål:</w:t>
            </w:r>
          </w:p>
          <w:p w:rsidR="00054421" w:rsidRDefault="00054421" w:rsidP="00054421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En årlig aktivitetsplan ska tas fram för aktiviteter såsom nätverksträffar och kompetens-höjande insatser</w:t>
            </w:r>
          </w:p>
          <w:p w:rsidR="00054421" w:rsidRDefault="00054421" w:rsidP="00054421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40 individer per år ska fått ta del av insatsen coach/stödperson</w:t>
            </w:r>
          </w:p>
          <w:p w:rsidR="00F25A67" w:rsidRPr="00054421" w:rsidRDefault="00054421" w:rsidP="00A72FF1">
            <w:pPr>
              <w:pStyle w:val="Ingetavstn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Bedömning av pågående insatser mot arbete/studier </w:t>
            </w:r>
            <w:r w:rsidR="00A72FF1">
              <w:rPr>
                <w:rFonts w:ascii="Times New Roman" w:hAnsi="Times New Roman" w:cs="Times New Roman"/>
                <w:sz w:val="24"/>
                <w:szCs w:val="26"/>
              </w:rPr>
              <w:t>ska ha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genomförts vid 3, 6 och 9 månaders deltagande</w:t>
            </w:r>
          </w:p>
        </w:tc>
      </w:tr>
    </w:tbl>
    <w:p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:rsidTr="003F4E0B">
        <w:tc>
          <w:tcPr>
            <w:tcW w:w="9060" w:type="dxa"/>
            <w:gridSpan w:val="3"/>
          </w:tcPr>
          <w:p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:rsidTr="0002763A">
        <w:tc>
          <w:tcPr>
            <w:tcW w:w="3020" w:type="dxa"/>
          </w:tcPr>
          <w:p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</w:t>
            </w:r>
            <w:r w:rsidR="004A4ACF">
              <w:rPr>
                <w:rFonts w:ascii="Times New Roman" w:hAnsi="Times New Roman" w:cs="Times New Roman"/>
                <w:sz w:val="24"/>
                <w:szCs w:val="26"/>
              </w:rPr>
              <w:t xml:space="preserve"> coach/stödperson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</w:t>
            </w:r>
          </w:p>
        </w:tc>
        <w:tc>
          <w:tcPr>
            <w:tcW w:w="3020" w:type="dxa"/>
          </w:tcPr>
          <w:p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4A4ACF">
              <w:rPr>
                <w:rFonts w:ascii="Times New Roman" w:hAnsi="Times New Roman" w:cs="Times New Roman"/>
                <w:sz w:val="24"/>
                <w:szCs w:val="26"/>
              </w:rPr>
              <w:t>100 %</w:t>
            </w:r>
          </w:p>
        </w:tc>
        <w:tc>
          <w:tcPr>
            <w:tcW w:w="3020" w:type="dxa"/>
          </w:tcPr>
          <w:p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507956">
              <w:rPr>
                <w:rFonts w:ascii="Times New Roman" w:hAnsi="Times New Roman" w:cs="Times New Roman"/>
                <w:sz w:val="24"/>
                <w:szCs w:val="26"/>
              </w:rPr>
              <w:t>180101–201231</w:t>
            </w:r>
          </w:p>
        </w:tc>
      </w:tr>
      <w:tr w:rsidR="004A4ACF" w:rsidTr="00FD48B6">
        <w:tc>
          <w:tcPr>
            <w:tcW w:w="3020" w:type="dxa"/>
          </w:tcPr>
          <w:p w:rsidR="004A4ACF" w:rsidRPr="00D16E5B" w:rsidRDefault="004A4ACF" w:rsidP="00FD48B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Funktion: coach/stödperson                    </w:t>
            </w:r>
          </w:p>
        </w:tc>
        <w:tc>
          <w:tcPr>
            <w:tcW w:w="3020" w:type="dxa"/>
          </w:tcPr>
          <w:p w:rsidR="004A4ACF" w:rsidRPr="00D16E5B" w:rsidRDefault="004A4ACF" w:rsidP="00FD48B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Tjänstgöringsgrad: 100 %</w:t>
            </w:r>
          </w:p>
        </w:tc>
        <w:tc>
          <w:tcPr>
            <w:tcW w:w="3020" w:type="dxa"/>
          </w:tcPr>
          <w:p w:rsidR="004A4ACF" w:rsidRPr="00D16E5B" w:rsidRDefault="004A4ACF" w:rsidP="00FD48B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507956">
              <w:rPr>
                <w:rFonts w:ascii="Times New Roman" w:hAnsi="Times New Roman" w:cs="Times New Roman"/>
                <w:sz w:val="24"/>
                <w:szCs w:val="26"/>
              </w:rPr>
              <w:t>180101–201231</w:t>
            </w:r>
          </w:p>
        </w:tc>
      </w:tr>
    </w:tbl>
    <w:p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:rsidTr="003F4E0B">
        <w:tc>
          <w:tcPr>
            <w:tcW w:w="9060" w:type="dxa"/>
          </w:tcPr>
          <w:p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4A4ACF" w:rsidTr="001B34BC">
        <w:tc>
          <w:tcPr>
            <w:tcW w:w="9060" w:type="dxa"/>
          </w:tcPr>
          <w:p w:rsidR="004A4ACF" w:rsidRPr="00D16E5B" w:rsidRDefault="004A4ACF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Ingen egenfinansiering av resurser har angetts i ansökan</w:t>
            </w:r>
            <w:r w:rsidR="009D7947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</w:tbl>
    <w:p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:rsidTr="00A33E63">
        <w:tc>
          <w:tcPr>
            <w:tcW w:w="9060" w:type="dxa"/>
          </w:tcPr>
          <w:p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:rsidTr="00A33E63">
        <w:tc>
          <w:tcPr>
            <w:tcW w:w="9060" w:type="dxa"/>
          </w:tcPr>
          <w:p w:rsidR="00946733" w:rsidRDefault="00A72FF1" w:rsidP="00A72FF1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för denna insats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bookmarkStart w:id="0" w:name="_GoBack"/>
            <w:bookmarkEnd w:id="0"/>
            <w:r w:rsidR="00F25A67" w:rsidRPr="00E44B8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</w:tbl>
    <w:p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:rsidTr="003F4E0B">
        <w:tc>
          <w:tcPr>
            <w:tcW w:w="9060" w:type="dxa"/>
          </w:tcPr>
          <w:p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:rsidTr="003F4E0B">
        <w:tc>
          <w:tcPr>
            <w:tcW w:w="9060" w:type="dxa"/>
          </w:tcPr>
          <w:p w:rsidR="00243DEC" w:rsidRPr="00E44B82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B82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:rsidR="00507956" w:rsidRDefault="009D7947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>Styrgruppen ansvarar för framtagandet av en gemensam överenskommelse med en tydlig samverkansstruktur, mellan alla fyra parter, där långsiktig samverkan står i fokus.</w:t>
            </w:r>
            <w:r w:rsidR="00507956" w:rsidRPr="0050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A3E" w:rsidRPr="00507956" w:rsidRDefault="00570A3E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56" w:rsidRDefault="00507956" w:rsidP="00570A3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>Stödpersonerna erbjuder ett sammanhållet stöd på individ- och handläggarnivå. De kommer att arbeta förebyggande genom att möta individen i ett tidigt skede och ge ett parallellt kompletterande stöd tillsammans med fun</w:t>
            </w:r>
            <w:r w:rsidR="00EE6F3C">
              <w:rPr>
                <w:rFonts w:ascii="Times New Roman" w:hAnsi="Times New Roman" w:cs="Times New Roman"/>
                <w:sz w:val="24"/>
                <w:szCs w:val="24"/>
              </w:rPr>
              <w:t>ktioner i ordinarie planering. De u</w:t>
            </w: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>tgår från ett helhetsperspektiv innefattande fokus på medicinsk, social, ekonomisk och arbetslivsinriktad rehabilitering. De ska arbeta med kartläggande, förberedande, info</w:t>
            </w:r>
            <w:r w:rsidR="00EE6F3C">
              <w:rPr>
                <w:rFonts w:ascii="Times New Roman" w:hAnsi="Times New Roman" w:cs="Times New Roman"/>
                <w:sz w:val="24"/>
                <w:szCs w:val="24"/>
              </w:rPr>
              <w:t>rmerande och motiverande samtal samt ha f</w:t>
            </w: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>okus på aktiverande insatser. Stödet ska inriktas så att individen ökar sin delaktighet i sin egen rehabiliteringsprocess.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570A3E">
              <w:rPr>
                <w:rFonts w:ascii="Times New Roman" w:hAnsi="Times New Roman" w:cs="Times New Roman"/>
                <w:sz w:val="24"/>
                <w:szCs w:val="26"/>
              </w:rPr>
              <w:t xml:space="preserve">Stödpersonerna ska även arbeta med (om behov finns) att mobilisera viktiga personer i individens privata nätverk som kan agera långsiktigt stöd i vägen mot arbete. Riktningen är att deltagande i insatsen ska vara mellan ca 3-6 månader och maximalt ett år. </w:t>
            </w:r>
          </w:p>
          <w:p w:rsidR="00570A3E" w:rsidRPr="00570A3E" w:rsidRDefault="00570A3E" w:rsidP="00570A3E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Arbetssätt och metoder kommer följas upp och utvärderas kontinuerligt på återkommande veckomöten samt som en stående punkt vid styrgruppsmöten. </w:t>
            </w:r>
          </w:p>
        </w:tc>
      </w:tr>
    </w:tbl>
    <w:p w:rsidR="00EE6F3C" w:rsidRDefault="00EE6F3C" w:rsidP="00EE6F3C">
      <w:pPr>
        <w:pStyle w:val="Ingetavstnd"/>
        <w:ind w:left="6520"/>
        <w:rPr>
          <w:rFonts w:ascii="Times New Roman" w:hAnsi="Times New Roman" w:cs="Times New Roman"/>
        </w:rPr>
      </w:pPr>
      <w:r w:rsidRPr="00EE6F3C">
        <w:rPr>
          <w:rFonts w:ascii="Times New Roman" w:hAnsi="Times New Roman" w:cs="Times New Roman"/>
        </w:rPr>
        <w:t>Forts nästa sida</w:t>
      </w:r>
    </w:p>
    <w:p w:rsidR="00EE6F3C" w:rsidRPr="00EE6F3C" w:rsidRDefault="00EE6F3C" w:rsidP="00EE6F3C">
      <w:pPr>
        <w:pStyle w:val="Ingetavstnd"/>
        <w:ind w:left="6520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:rsidRPr="00507956" w:rsidTr="003F4E0B">
        <w:tc>
          <w:tcPr>
            <w:tcW w:w="9060" w:type="dxa"/>
          </w:tcPr>
          <w:p w:rsidR="00A201F3" w:rsidRPr="00E44B82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B82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:rsidR="00243DEC" w:rsidRPr="00507956" w:rsidRDefault="00982403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>Personer i tydligt behov av stöd i samordning innan och/eller under arbetslivsinriktad rehabilitering. Utgångspunkt för intag i insatsen är att det finns få inkluderingskrav men vid behov av prioritering på grund av stort inflöde ska följande målgrupper prioriteras:</w:t>
            </w:r>
          </w:p>
          <w:p w:rsidR="00982403" w:rsidRPr="00507956" w:rsidRDefault="00982403" w:rsidP="00982403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>Unga med funktionsnedsättning och/eller aktivitetsersättning (16-29 år)</w:t>
            </w:r>
          </w:p>
          <w:p w:rsidR="00982403" w:rsidRPr="00507956" w:rsidRDefault="00982403" w:rsidP="00982403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>Personer med långvarigt bidrags- och/eller ersättningsberoende och de som riskerar att hamna i långvarigt bidrags- och/eller ersättningsberoende (18-64 år).</w:t>
            </w:r>
          </w:p>
          <w:p w:rsidR="00982403" w:rsidRPr="00507956" w:rsidRDefault="00982403" w:rsidP="0098240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46A" w:rsidRPr="00507956" w:rsidRDefault="00EF346A" w:rsidP="0098240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56">
              <w:rPr>
                <w:rFonts w:ascii="Times New Roman" w:hAnsi="Times New Roman" w:cs="Times New Roman"/>
                <w:sz w:val="24"/>
                <w:szCs w:val="24"/>
              </w:rPr>
              <w:t xml:space="preserve">Övrig målgrupp är funktioner/handläggare inom parterna som arbetar med målgruppen och som kommer att delta i nätverksträffar och kompetenshöjande insatser. </w:t>
            </w:r>
          </w:p>
        </w:tc>
      </w:tr>
    </w:tbl>
    <w:p w:rsidR="006419E6" w:rsidRPr="00507956" w:rsidRDefault="006419E6">
      <w:pPr>
        <w:rPr>
          <w:rFonts w:ascii="Times New Roman" w:hAnsi="Times New Roman" w:cs="Times New Roman"/>
          <w:b/>
          <w:sz w:val="24"/>
          <w:szCs w:val="24"/>
        </w:rPr>
      </w:pPr>
    </w:p>
    <w:sectPr w:rsidR="006419E6" w:rsidRPr="00507956" w:rsidSect="000F4314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09623"/>
      <w:docPartObj>
        <w:docPartGallery w:val="Page Numbers (Bottom of Page)"/>
        <w:docPartUnique/>
      </w:docPartObj>
    </w:sdtPr>
    <w:sdtEndPr/>
    <w:sdtContent>
      <w:p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F1">
          <w:rPr>
            <w:noProof/>
          </w:rPr>
          <w:t>1</w:t>
        </w:r>
        <w:r>
          <w:fldChar w:fldCharType="end"/>
        </w:r>
      </w:p>
    </w:sdtContent>
  </w:sdt>
  <w:p w:rsidR="000F4314" w:rsidRDefault="000F43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314" w:rsidRDefault="000F431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5FC7BA5" wp14:editId="52204F25">
          <wp:simplePos x="0" y="0"/>
          <wp:positionH relativeFrom="column">
            <wp:posOffset>-291254</wp:posOffset>
          </wp:positionH>
          <wp:positionV relativeFrom="paragraph">
            <wp:posOffset>-158750</wp:posOffset>
          </wp:positionV>
          <wp:extent cx="2070100" cy="414020"/>
          <wp:effectExtent l="0" t="0" r="6350" b="5080"/>
          <wp:wrapNone/>
          <wp:docPr id="3" name="Bild 3" descr="finsamuppsal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samuppsal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734400">
      <w:t>2017-12-27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1081"/>
    <w:multiLevelType w:val="hybridMultilevel"/>
    <w:tmpl w:val="B47EE5F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2D69"/>
    <w:multiLevelType w:val="hybridMultilevel"/>
    <w:tmpl w:val="954E416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13729"/>
    <w:multiLevelType w:val="hybridMultilevel"/>
    <w:tmpl w:val="C1C42A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78"/>
    <w:rsid w:val="000019F3"/>
    <w:rsid w:val="000024BE"/>
    <w:rsid w:val="00054421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C6586"/>
    <w:rsid w:val="002D4A24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6350C"/>
    <w:rsid w:val="0049568C"/>
    <w:rsid w:val="004A0BA1"/>
    <w:rsid w:val="004A4ACF"/>
    <w:rsid w:val="004A6E51"/>
    <w:rsid w:val="004B1F52"/>
    <w:rsid w:val="004C14E7"/>
    <w:rsid w:val="004E6CB9"/>
    <w:rsid w:val="004F13BA"/>
    <w:rsid w:val="004F43F5"/>
    <w:rsid w:val="005045E6"/>
    <w:rsid w:val="00507956"/>
    <w:rsid w:val="0052595F"/>
    <w:rsid w:val="00547447"/>
    <w:rsid w:val="00547687"/>
    <w:rsid w:val="005507AF"/>
    <w:rsid w:val="00560F83"/>
    <w:rsid w:val="005650D9"/>
    <w:rsid w:val="00570A3E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E5596"/>
    <w:rsid w:val="008E586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403"/>
    <w:rsid w:val="00982B37"/>
    <w:rsid w:val="009910B7"/>
    <w:rsid w:val="009C14AA"/>
    <w:rsid w:val="009C1B4D"/>
    <w:rsid w:val="009C7CE4"/>
    <w:rsid w:val="009D3F77"/>
    <w:rsid w:val="009D5EC3"/>
    <w:rsid w:val="009D7947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2FF1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10AB6"/>
    <w:rsid w:val="00C33A78"/>
    <w:rsid w:val="00C3506A"/>
    <w:rsid w:val="00C350B2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D00EF"/>
    <w:rsid w:val="00DE1E7F"/>
    <w:rsid w:val="00DF12AC"/>
    <w:rsid w:val="00E06D7B"/>
    <w:rsid w:val="00E1332B"/>
    <w:rsid w:val="00E259C6"/>
    <w:rsid w:val="00E25BB1"/>
    <w:rsid w:val="00E44B82"/>
    <w:rsid w:val="00E672DD"/>
    <w:rsid w:val="00EB1FD0"/>
    <w:rsid w:val="00EC77E9"/>
    <w:rsid w:val="00ED3FDE"/>
    <w:rsid w:val="00ED5AE8"/>
    <w:rsid w:val="00EE2D85"/>
    <w:rsid w:val="00EE6F3C"/>
    <w:rsid w:val="00EF346A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Geli Lytter</cp:lastModifiedBy>
  <cp:revision>12</cp:revision>
  <cp:lastPrinted>2015-11-05T12:46:00Z</cp:lastPrinted>
  <dcterms:created xsi:type="dcterms:W3CDTF">2017-12-27T14:13:00Z</dcterms:created>
  <dcterms:modified xsi:type="dcterms:W3CDTF">2017-12-29T09:26:00Z</dcterms:modified>
</cp:coreProperties>
</file>