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A518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7A575E62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04CCDF8C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D16E5B" w14:paraId="5EF82745" w14:textId="77777777" w:rsidTr="00B7281C">
        <w:tc>
          <w:tcPr>
            <w:tcW w:w="9060" w:type="dxa"/>
            <w:gridSpan w:val="2"/>
          </w:tcPr>
          <w:p w14:paraId="42A8C0C5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1686E018" w14:textId="77777777" w:rsidTr="000A4E88">
        <w:trPr>
          <w:trHeight w:val="318"/>
        </w:trPr>
        <w:tc>
          <w:tcPr>
            <w:tcW w:w="4957" w:type="dxa"/>
          </w:tcPr>
          <w:p w14:paraId="71077CDF" w14:textId="3933B1CB" w:rsidR="00F25A67" w:rsidRPr="005A326A" w:rsidRDefault="005A326A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Jobbcentrum-din väg framåt</w:t>
            </w:r>
          </w:p>
        </w:tc>
        <w:tc>
          <w:tcPr>
            <w:tcW w:w="4103" w:type="dxa"/>
          </w:tcPr>
          <w:p w14:paraId="474E6C0D" w14:textId="58D96B1C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0A4E88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0B69C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8C71B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0B69C2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0A4E88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0738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A4E88">
              <w:rPr>
                <w:rFonts w:ascii="Times New Roman" w:hAnsi="Times New Roman" w:cs="Times New Roman"/>
                <w:sz w:val="24"/>
                <w:szCs w:val="26"/>
              </w:rPr>
              <w:t>-01 till 202</w:t>
            </w:r>
            <w:r w:rsidR="008C71B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0A4E88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  <w:p w14:paraId="2693FE13" w14:textId="6C0587FB" w:rsidR="00B7281C" w:rsidRDefault="00B7281C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16E5B" w14:paraId="68AB7499" w14:textId="77777777" w:rsidTr="00D16E5B">
        <w:trPr>
          <w:trHeight w:val="318"/>
        </w:trPr>
        <w:tc>
          <w:tcPr>
            <w:tcW w:w="9060" w:type="dxa"/>
            <w:gridSpan w:val="2"/>
          </w:tcPr>
          <w:p w14:paraId="4F4FAD3E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(som är delaktiga i insatsen):</w:t>
            </w:r>
          </w:p>
          <w:p w14:paraId="3EB60A07" w14:textId="77777777" w:rsidR="00732D12" w:rsidRDefault="009E043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Enköpings kommun och Arbetsförmedlingen</w:t>
            </w:r>
          </w:p>
        </w:tc>
      </w:tr>
    </w:tbl>
    <w:p w14:paraId="14A50B6B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7E26BFFB" w14:textId="77777777" w:rsidTr="00B7281C">
        <w:tc>
          <w:tcPr>
            <w:tcW w:w="9060" w:type="dxa"/>
          </w:tcPr>
          <w:p w14:paraId="1AB3C8B0" w14:textId="77777777" w:rsidR="00D16E5B" w:rsidRPr="0088055F" w:rsidRDefault="00D16E5B" w:rsidP="00C57FD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  <w:r w:rsidR="00C57FD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D16E5B" w14:paraId="716364EB" w14:textId="77777777" w:rsidTr="00B7281C">
        <w:tc>
          <w:tcPr>
            <w:tcW w:w="9060" w:type="dxa"/>
          </w:tcPr>
          <w:p w14:paraId="59BBD99D" w14:textId="77777777" w:rsidR="0075610E" w:rsidRPr="00753296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  <w:u w:val="single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  <w:u w:val="single"/>
              </w:rPr>
              <w:t>Effektmål:</w:t>
            </w:r>
          </w:p>
          <w:p w14:paraId="16985187" w14:textId="77777777" w:rsidR="0075610E" w:rsidRPr="0075610E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610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Minst 75 deltagare som går till arbete eller studier per år</w:t>
            </w:r>
          </w:p>
          <w:p w14:paraId="78BBDB67" w14:textId="66101589" w:rsidR="0075610E" w:rsidRPr="0075610E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610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- Årligen ta emot minst 50 deltagare med försörjningsstöd som får aktiviteter inom </w:t>
            </w:r>
            <w:r w:rsidR="00753296" w:rsidRPr="0075610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Jobbcentrum, med</w:t>
            </w:r>
            <w:r w:rsidRPr="0075610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fokus på att nå arbete</w:t>
            </w:r>
          </w:p>
          <w:p w14:paraId="59DCE3F2" w14:textId="5A7E68BE" w:rsidR="0075610E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610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Samarbete med lokala arbetsgivare för att utöka möjligheter till arbetsträning och praktikplatser</w:t>
            </w:r>
          </w:p>
          <w:p w14:paraId="3E8523DB" w14:textId="77777777" w:rsidR="00753296" w:rsidRPr="0075610E" w:rsidRDefault="00753296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</w:p>
          <w:p w14:paraId="0A21998D" w14:textId="77777777" w:rsidR="0075610E" w:rsidRPr="00753296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  <w:u w:val="single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  <w:u w:val="single"/>
              </w:rPr>
              <w:t>Insatsmål:</w:t>
            </w:r>
          </w:p>
          <w:p w14:paraId="460C7982" w14:textId="77777777" w:rsidR="0075610E" w:rsidRPr="00753296" w:rsidRDefault="0075610E" w:rsidP="00756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Upprätta individuell handlingsplan inom 6 veckor från start av insats</w:t>
            </w:r>
          </w:p>
          <w:p w14:paraId="78F40635" w14:textId="77777777" w:rsidR="00753296" w:rsidRPr="00753296" w:rsidRDefault="0075610E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Erbjuda individ- och gruppaktiviteter för att stärka motovation, självkänsla och möjlighet till</w:t>
            </w:r>
            <w:r w:rsidR="00753296"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arbete eller studier under inskrivningstiden</w:t>
            </w:r>
            <w:r w:rsidR="00753296"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</w:p>
          <w:p w14:paraId="10FEA34F" w14:textId="5DAAB524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Uppföljning av deltagare med hjälp av progressionsmätningsmetod varje kvartal</w:t>
            </w:r>
          </w:p>
          <w:p w14:paraId="0E5683A3" w14:textId="6E2116B8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Samverkan minst tre gånger per år med andra parter och enheter inom Enköpings Kommun som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också möter invånare med behov av samordnade rehabiliteringsinsatser</w:t>
            </w:r>
          </w:p>
          <w:p w14:paraId="2018C5A7" w14:textId="2804CF38" w:rsidR="00B7281C" w:rsidRPr="0075610E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- Återrapportering till LOKUS-grupp om insatsens resultat minst fyra gånger per år</w:t>
            </w:r>
          </w:p>
        </w:tc>
      </w:tr>
    </w:tbl>
    <w:p w14:paraId="0D236FA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5C1B5758" w14:textId="77777777" w:rsidTr="004F7D2B">
        <w:trPr>
          <w:trHeight w:val="300"/>
        </w:trPr>
        <w:tc>
          <w:tcPr>
            <w:tcW w:w="9060" w:type="dxa"/>
            <w:gridSpan w:val="3"/>
          </w:tcPr>
          <w:p w14:paraId="65251ECC" w14:textId="66203B02" w:rsidR="00A94392" w:rsidRPr="00B7281C" w:rsidRDefault="00420C65" w:rsidP="0007381E">
            <w:pPr>
              <w:pStyle w:val="Ingetavstnd"/>
              <w:rPr>
                <w:rFonts w:ascii="Times New Roman" w:hAnsi="Times New Roman" w:cs="Times New Roman"/>
                <w:b/>
                <w:color w:val="7030A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B728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2DB78DA7" w14:textId="77777777" w:rsidTr="00B7281C">
        <w:tc>
          <w:tcPr>
            <w:tcW w:w="3020" w:type="dxa"/>
          </w:tcPr>
          <w:p w14:paraId="1FF29FA4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</w:t>
            </w:r>
            <w:r w:rsidR="004F7D2B">
              <w:rPr>
                <w:rFonts w:ascii="Times New Roman" w:hAnsi="Times New Roman" w:cs="Times New Roman"/>
                <w:sz w:val="24"/>
                <w:szCs w:val="26"/>
              </w:rPr>
              <w:t xml:space="preserve"> Ungdomscoach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</w:t>
            </w:r>
          </w:p>
        </w:tc>
        <w:tc>
          <w:tcPr>
            <w:tcW w:w="3020" w:type="dxa"/>
          </w:tcPr>
          <w:p w14:paraId="39E313CC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4F7D2B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577B3BF2" w14:textId="1A217A13" w:rsidR="00A17CF9" w:rsidRPr="00DD13BC" w:rsidRDefault="00753296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220101-221231</w:t>
            </w:r>
          </w:p>
        </w:tc>
      </w:tr>
      <w:tr w:rsidR="00753296" w14:paraId="11A32684" w14:textId="77777777" w:rsidTr="00B7281C">
        <w:tc>
          <w:tcPr>
            <w:tcW w:w="3020" w:type="dxa"/>
          </w:tcPr>
          <w:p w14:paraId="669256EC" w14:textId="28E93DC5" w:rsidR="00753296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Funktion: Rehabcoach                   </w:t>
            </w:r>
          </w:p>
        </w:tc>
        <w:tc>
          <w:tcPr>
            <w:tcW w:w="3020" w:type="dxa"/>
          </w:tcPr>
          <w:p w14:paraId="171D9652" w14:textId="16F36857" w:rsidR="00753296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>Tjänstgöringsgrad: 100 %</w:t>
            </w:r>
          </w:p>
        </w:tc>
        <w:tc>
          <w:tcPr>
            <w:tcW w:w="3020" w:type="dxa"/>
          </w:tcPr>
          <w:p w14:paraId="651C818F" w14:textId="379D3164" w:rsidR="00753296" w:rsidRPr="00DD13BC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220101-221231</w:t>
            </w:r>
          </w:p>
        </w:tc>
      </w:tr>
      <w:tr w:rsidR="00753296" w14:paraId="2CFCD790" w14:textId="77777777" w:rsidTr="00B7281C">
        <w:tc>
          <w:tcPr>
            <w:tcW w:w="3020" w:type="dxa"/>
          </w:tcPr>
          <w:p w14:paraId="75C2183B" w14:textId="77777777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Funktion: Rehabcoach                   </w:t>
            </w:r>
          </w:p>
        </w:tc>
        <w:tc>
          <w:tcPr>
            <w:tcW w:w="3020" w:type="dxa"/>
          </w:tcPr>
          <w:p w14:paraId="32288419" w14:textId="77777777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>Tjänstgöringsgrad: 100 %</w:t>
            </w:r>
          </w:p>
        </w:tc>
        <w:tc>
          <w:tcPr>
            <w:tcW w:w="3020" w:type="dxa"/>
          </w:tcPr>
          <w:p w14:paraId="576085E0" w14:textId="18A7E8E7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220101-221231</w:t>
            </w:r>
          </w:p>
        </w:tc>
      </w:tr>
      <w:tr w:rsidR="00753296" w14:paraId="481CEA1A" w14:textId="77777777" w:rsidTr="00B7281C">
        <w:tc>
          <w:tcPr>
            <w:tcW w:w="3020" w:type="dxa"/>
          </w:tcPr>
          <w:p w14:paraId="7AE68C72" w14:textId="66E1605B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Funktion: Arbetsförmedlare </w:t>
            </w:r>
          </w:p>
        </w:tc>
        <w:tc>
          <w:tcPr>
            <w:tcW w:w="3020" w:type="dxa"/>
          </w:tcPr>
          <w:p w14:paraId="79A6E925" w14:textId="42FCB520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134B3AD6" w14:textId="30CC0252" w:rsidR="00753296" w:rsidRPr="00821704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220101-221231</w:t>
            </w:r>
          </w:p>
        </w:tc>
      </w:tr>
      <w:tr w:rsidR="00753296" w14:paraId="63CB8C67" w14:textId="77777777" w:rsidTr="00B7281C">
        <w:tc>
          <w:tcPr>
            <w:tcW w:w="3020" w:type="dxa"/>
          </w:tcPr>
          <w:p w14:paraId="184DB06E" w14:textId="3A7E3C6A" w:rsidR="00753296" w:rsidRPr="00B7281C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color w:val="7030A0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>Funktion: Arbets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marknadskonsulent</w:t>
            </w:r>
          </w:p>
        </w:tc>
        <w:tc>
          <w:tcPr>
            <w:tcW w:w="3020" w:type="dxa"/>
          </w:tcPr>
          <w:p w14:paraId="77761C49" w14:textId="54475ABD" w:rsidR="00753296" w:rsidRPr="00B7281C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color w:val="7030A0"/>
                <w:sz w:val="24"/>
                <w:szCs w:val="26"/>
              </w:rPr>
            </w:pP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  <w:r w:rsidRPr="00821704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092822CB" w14:textId="4125E2F9" w:rsidR="00753296" w:rsidRPr="00B7281C" w:rsidRDefault="00753296" w:rsidP="00753296">
            <w:pPr>
              <w:pStyle w:val="Ingetavstnd"/>
              <w:jc w:val="both"/>
              <w:rPr>
                <w:rFonts w:ascii="Times New Roman" w:hAnsi="Times New Roman" w:cs="Times New Roman"/>
                <w:color w:val="7030A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220101-221231</w:t>
            </w:r>
          </w:p>
        </w:tc>
      </w:tr>
    </w:tbl>
    <w:p w14:paraId="12D63046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222655A0" w14:textId="77777777" w:rsidTr="00B7281C">
        <w:tc>
          <w:tcPr>
            <w:tcW w:w="9060" w:type="dxa"/>
          </w:tcPr>
          <w:p w14:paraId="3E06B3A3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4F7D2B" w14:paraId="71C1F2D2" w14:textId="77777777" w:rsidTr="00B7281C">
        <w:tc>
          <w:tcPr>
            <w:tcW w:w="9060" w:type="dxa"/>
          </w:tcPr>
          <w:p w14:paraId="33AF93B2" w14:textId="77777777" w:rsidR="004F7D2B" w:rsidRDefault="004F7D2B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1640370D" w14:textId="77777777" w:rsidR="00406EC8" w:rsidRDefault="00406EC8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4C27AC59" w14:textId="388CA4B9" w:rsidR="00494D84" w:rsidRDefault="00494D84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 nästa sida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4803C563" w14:textId="77777777" w:rsidTr="00A33E63">
        <w:tc>
          <w:tcPr>
            <w:tcW w:w="9060" w:type="dxa"/>
          </w:tcPr>
          <w:p w14:paraId="2136A279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EA66FFD" w14:textId="77777777" w:rsidTr="00A33E63">
        <w:tc>
          <w:tcPr>
            <w:tcW w:w="9060" w:type="dxa"/>
          </w:tcPr>
          <w:p w14:paraId="53B8411A" w14:textId="77777777" w:rsidR="00946733" w:rsidRDefault="004F7D2B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Insatsen har en specifik styrgrupp med representanter från aktuella parter. Styrgruppen informerar lokusgruppen löpande.</w:t>
            </w:r>
          </w:p>
        </w:tc>
      </w:tr>
    </w:tbl>
    <w:p w14:paraId="48FD4F58" w14:textId="77777777" w:rsidR="000B6012" w:rsidRDefault="000B601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6007F61" w14:textId="77777777" w:rsidTr="00B7281C">
        <w:tc>
          <w:tcPr>
            <w:tcW w:w="9060" w:type="dxa"/>
          </w:tcPr>
          <w:p w14:paraId="2DD380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2C7344F0" w14:textId="77777777" w:rsidTr="00B7281C">
        <w:tc>
          <w:tcPr>
            <w:tcW w:w="9060" w:type="dxa"/>
          </w:tcPr>
          <w:p w14:paraId="7C237657" w14:textId="4D0CD151" w:rsidR="00243DEC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B77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7FC6E34B" w14:textId="77777777" w:rsidR="00494D84" w:rsidRDefault="00494D84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B9CB0E" w14:textId="77777777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Vid Jobbcentrum så används samtalsmetoden motiverande samtal (Ml) och </w:t>
            </w:r>
            <w:proofErr w:type="spellStart"/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Supported</w:t>
            </w:r>
            <w:proofErr w:type="spellEnd"/>
          </w:p>
          <w:p w14:paraId="7EAFDC2E" w14:textId="77777777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proofErr w:type="spellStart"/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employment</w:t>
            </w:r>
            <w:proofErr w:type="spellEnd"/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(SE) i det coachande arbetet sedan tidigare och som en del i kommande arbete</w:t>
            </w:r>
          </w:p>
          <w:p w14:paraId="581A633C" w14:textId="16A1D19D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kommer även ett progressionsmätningsverktyg att användas med uppföljning varje kvartal. </w:t>
            </w:r>
          </w:p>
          <w:p w14:paraId="03C5E48B" w14:textId="77777777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Vidare så kommer Jobbcentrum aktivt arbeta med att utveckla en blandning av individuell</w:t>
            </w:r>
          </w:p>
          <w:p w14:paraId="7A8DC95F" w14:textId="5765CD3F" w:rsidR="00145B77" w:rsidRPr="00745A11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>coaching och samtal i grupp anpassat efter deltagarnas behov liksom andra anpassade aktiviteter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,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bland annat riktade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insatser för att höja arbetsförmåga, samordnade möten med vårdinstans, coachande samtal,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kurser eller aktiviteter för att öka motivation och tro på sin egen förmåga, arbetsträning samt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utbildning mot specifika yrkesroller i omfattning anpassad till individens behov. 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ktiviteterna är av förberedande karaktär och är ett komplement till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Arbetsförmedlingens verktygslåda. Jobbcentrums aktiviteter utförs i kommunens regi men kan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kombineras med Arbetsförmedlingens insatser när individen är redo för det. Inom insatsen ska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parallella samordnade aktiviteter erbjudas utifrån individens behov.</w:t>
            </w:r>
          </w:p>
        </w:tc>
      </w:tr>
      <w:tr w:rsidR="00243DEC" w14:paraId="0025FB03" w14:textId="77777777" w:rsidTr="00B7281C">
        <w:tc>
          <w:tcPr>
            <w:tcW w:w="9060" w:type="dxa"/>
          </w:tcPr>
          <w:p w14:paraId="5D2875BD" w14:textId="05138E1E" w:rsidR="00A201F3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B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Angiven målgrupp i ansökan:</w:t>
            </w:r>
          </w:p>
          <w:p w14:paraId="5A3FD230" w14:textId="77777777" w:rsidR="007F2B00" w:rsidRPr="00145B77" w:rsidRDefault="007F2B00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3444E42F" w14:textId="77777777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• Unga 20-29 år utanför studier eller arbetsmarknad</w:t>
            </w:r>
          </w:p>
          <w:p w14:paraId="51F2B6D1" w14:textId="77777777" w:rsidR="00753296" w:rsidRPr="00753296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• Vuxna 30 år och uppåt utanför studier eller arbetsmarknad</w:t>
            </w:r>
          </w:p>
          <w:p w14:paraId="27DA6373" w14:textId="70A475EE" w:rsidR="00DD6599" w:rsidRPr="00702E5A" w:rsidRDefault="00753296" w:rsidP="00753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Båda grupper är av karaktär att de har identifierade behov av samordnade arbetslivsinriktade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rehabiliteringsinsatser och behöver stöd för att öka förmåga att nå anställning eller studier.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Personerna förväntas komma till Jobbcentrum primärt antingen via försörjningsstöd eller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Arbetsförmedling, alternativt fångas upp genom andra kanaler eller genom samverkan med andra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berörda parter som Försäkringskassa, region eller andra kommunala enheter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.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Dessutom ser Jobbcentrum behovet av att arbeta med dem som stått utanför arbetsmarknaden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längre tid och omnämns som "de längst ifrån". Det kan vara individer har antingen lämnat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etableringen och inte kommit vidare till arbete, personer som inte kan matchas mot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Arbetsförmedlingens befintliga aktiviteter, personer med försörjningsstöd, tidigare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långtidssjukskrivna </w:t>
            </w:r>
            <w:proofErr w:type="gramStart"/>
            <w:r w:rsidRPr="0075329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m fl.</w:t>
            </w:r>
            <w:proofErr w:type="gramEnd"/>
          </w:p>
        </w:tc>
      </w:tr>
    </w:tbl>
    <w:p w14:paraId="4C1B5976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6650" w14:textId="77777777" w:rsidR="00CE0E46" w:rsidRDefault="00CE0E46" w:rsidP="00C33A78">
      <w:pPr>
        <w:spacing w:after="0" w:line="240" w:lineRule="auto"/>
      </w:pPr>
      <w:r>
        <w:separator/>
      </w:r>
    </w:p>
  </w:endnote>
  <w:endnote w:type="continuationSeparator" w:id="0">
    <w:p w14:paraId="14F73F57" w14:textId="77777777" w:rsidR="00CE0E46" w:rsidRDefault="00CE0E46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582183D3" w14:textId="77777777" w:rsidR="00CE0E46" w:rsidRDefault="00CE0E4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CB1F3B" w14:textId="77777777" w:rsidR="00CE0E46" w:rsidRDefault="00CE0E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E6A0" w14:textId="77777777" w:rsidR="00CE0E46" w:rsidRDefault="00CE0E46" w:rsidP="00C33A78">
      <w:pPr>
        <w:spacing w:after="0" w:line="240" w:lineRule="auto"/>
      </w:pPr>
      <w:r>
        <w:separator/>
      </w:r>
    </w:p>
  </w:footnote>
  <w:footnote w:type="continuationSeparator" w:id="0">
    <w:p w14:paraId="2DBA6126" w14:textId="77777777" w:rsidR="00CE0E46" w:rsidRDefault="00CE0E46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E6F" w14:textId="193A5E21" w:rsidR="00CE0E46" w:rsidRDefault="00985747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15958" wp14:editId="2C2E9C07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1879600" cy="401955"/>
          <wp:effectExtent l="0" t="0" r="635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E46">
      <w:tab/>
    </w:r>
    <w:r w:rsidR="00CE0E46">
      <w:tab/>
      <w:t>Version 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7CC0"/>
    <w:multiLevelType w:val="hybridMultilevel"/>
    <w:tmpl w:val="3D1E1D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4647"/>
    <w:multiLevelType w:val="hybridMultilevel"/>
    <w:tmpl w:val="ADA66B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E1816"/>
    <w:multiLevelType w:val="hybridMultilevel"/>
    <w:tmpl w:val="67E2A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733E7"/>
    <w:multiLevelType w:val="hybridMultilevel"/>
    <w:tmpl w:val="C99039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230FE"/>
    <w:multiLevelType w:val="hybridMultilevel"/>
    <w:tmpl w:val="9384CE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81E"/>
    <w:rsid w:val="00073A1D"/>
    <w:rsid w:val="00075E89"/>
    <w:rsid w:val="000877A5"/>
    <w:rsid w:val="000A4E88"/>
    <w:rsid w:val="000B6012"/>
    <w:rsid w:val="000B69C2"/>
    <w:rsid w:val="000B7ABB"/>
    <w:rsid w:val="000D1C2E"/>
    <w:rsid w:val="000F4314"/>
    <w:rsid w:val="00110700"/>
    <w:rsid w:val="00145B77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91A5C"/>
    <w:rsid w:val="003B29A6"/>
    <w:rsid w:val="003C06E6"/>
    <w:rsid w:val="003C3E0E"/>
    <w:rsid w:val="003C6EFA"/>
    <w:rsid w:val="00405354"/>
    <w:rsid w:val="00406EC8"/>
    <w:rsid w:val="0040726C"/>
    <w:rsid w:val="004169EB"/>
    <w:rsid w:val="00420C65"/>
    <w:rsid w:val="004314A6"/>
    <w:rsid w:val="00436D14"/>
    <w:rsid w:val="00444A72"/>
    <w:rsid w:val="0046350C"/>
    <w:rsid w:val="004930A2"/>
    <w:rsid w:val="00494D84"/>
    <w:rsid w:val="0049568C"/>
    <w:rsid w:val="004A0BA1"/>
    <w:rsid w:val="004A6E51"/>
    <w:rsid w:val="004B1F52"/>
    <w:rsid w:val="004C14E7"/>
    <w:rsid w:val="004E6CB9"/>
    <w:rsid w:val="004F13BA"/>
    <w:rsid w:val="004F43F5"/>
    <w:rsid w:val="004F7D2B"/>
    <w:rsid w:val="0052595F"/>
    <w:rsid w:val="00546DB5"/>
    <w:rsid w:val="00547447"/>
    <w:rsid w:val="00547687"/>
    <w:rsid w:val="005507AF"/>
    <w:rsid w:val="00553181"/>
    <w:rsid w:val="00560F83"/>
    <w:rsid w:val="005650D9"/>
    <w:rsid w:val="005766B7"/>
    <w:rsid w:val="005A326A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3007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3296"/>
    <w:rsid w:val="0075610E"/>
    <w:rsid w:val="00756565"/>
    <w:rsid w:val="00774B91"/>
    <w:rsid w:val="00787714"/>
    <w:rsid w:val="0079292A"/>
    <w:rsid w:val="007A5959"/>
    <w:rsid w:val="007D6ED2"/>
    <w:rsid w:val="007F23FC"/>
    <w:rsid w:val="007F2B00"/>
    <w:rsid w:val="008153D3"/>
    <w:rsid w:val="00821704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C71B0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82EE8"/>
    <w:rsid w:val="00985747"/>
    <w:rsid w:val="009910B7"/>
    <w:rsid w:val="009C14AA"/>
    <w:rsid w:val="009C1B4D"/>
    <w:rsid w:val="009C7CE4"/>
    <w:rsid w:val="009D3F77"/>
    <w:rsid w:val="009D5EC3"/>
    <w:rsid w:val="009E0431"/>
    <w:rsid w:val="009F2E54"/>
    <w:rsid w:val="009F794F"/>
    <w:rsid w:val="00A17CF9"/>
    <w:rsid w:val="00A201F3"/>
    <w:rsid w:val="00A25C33"/>
    <w:rsid w:val="00A330C5"/>
    <w:rsid w:val="00A33E63"/>
    <w:rsid w:val="00A5390C"/>
    <w:rsid w:val="00A568A2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7281C"/>
    <w:rsid w:val="00B96183"/>
    <w:rsid w:val="00BA52D0"/>
    <w:rsid w:val="00BA67AD"/>
    <w:rsid w:val="00BB5894"/>
    <w:rsid w:val="00BC0E6C"/>
    <w:rsid w:val="00BE562C"/>
    <w:rsid w:val="00BF53A1"/>
    <w:rsid w:val="00C230E7"/>
    <w:rsid w:val="00C33A78"/>
    <w:rsid w:val="00C3506A"/>
    <w:rsid w:val="00C350B2"/>
    <w:rsid w:val="00C51CDF"/>
    <w:rsid w:val="00C57FDF"/>
    <w:rsid w:val="00C607AC"/>
    <w:rsid w:val="00C62183"/>
    <w:rsid w:val="00C65825"/>
    <w:rsid w:val="00C819E3"/>
    <w:rsid w:val="00C8620E"/>
    <w:rsid w:val="00CA1177"/>
    <w:rsid w:val="00CE0E46"/>
    <w:rsid w:val="00CE314A"/>
    <w:rsid w:val="00CF5B95"/>
    <w:rsid w:val="00CF6BAC"/>
    <w:rsid w:val="00CF7C9D"/>
    <w:rsid w:val="00D16E5B"/>
    <w:rsid w:val="00D24CC3"/>
    <w:rsid w:val="00D35A35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C618F"/>
    <w:rsid w:val="00DD00EF"/>
    <w:rsid w:val="00DD13BC"/>
    <w:rsid w:val="00DD6599"/>
    <w:rsid w:val="00DE1E7F"/>
    <w:rsid w:val="00DF12AC"/>
    <w:rsid w:val="00E06D7B"/>
    <w:rsid w:val="00E1332B"/>
    <w:rsid w:val="00E259C6"/>
    <w:rsid w:val="00E25BB1"/>
    <w:rsid w:val="00E672DD"/>
    <w:rsid w:val="00E71F66"/>
    <w:rsid w:val="00E924C8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7756B"/>
    <w:rsid w:val="00F80EB4"/>
    <w:rsid w:val="00F851FC"/>
    <w:rsid w:val="00FB12E6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98BFC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5</cp:revision>
  <cp:lastPrinted>2015-11-05T12:46:00Z</cp:lastPrinted>
  <dcterms:created xsi:type="dcterms:W3CDTF">2021-11-03T14:29:00Z</dcterms:created>
  <dcterms:modified xsi:type="dcterms:W3CDTF">2021-11-29T09:56:00Z</dcterms:modified>
</cp:coreProperties>
</file>